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00000" w:rsidRPr="00000000" w:rsidP="00000000" w14:paraId="00000001">
      <w:pPr>
        <w:pStyle w:val="Title"/>
        <w:spacing w:line="480" w:lineRule="auto"/>
        <w:jc w:val="center"/>
        <w:rPr>
          <w:rFonts w:ascii="Times New Roman" w:eastAsia="Times New Roman" w:hAnsi="Times New Roman" w:cs="Times New Roman"/>
          <w:sz w:val="28"/>
          <w:szCs w:val="28"/>
        </w:rPr>
      </w:pPr>
      <w:bookmarkStart w:id="0" w:name="_hiq1ijvemjgf" w:colFirst="0" w:colLast="0"/>
      <w:bookmarkEnd w:id="0"/>
      <w:r w:rsidRPr="00000000">
        <w:rPr>
          <w:rFonts w:ascii="Times New Roman" w:eastAsia="Times New Roman" w:hAnsi="Times New Roman" w:cs="Times New Roman"/>
          <w:sz w:val="28"/>
          <w:szCs w:val="28"/>
          <w:rtl w:val="0"/>
        </w:rPr>
        <w:t>Dangerous Precedents</w:t>
      </w:r>
      <w:r w:rsidRPr="00000000">
        <w:rPr>
          <w:rFonts w:ascii="Times New Roman" w:eastAsia="Times New Roman" w:hAnsi="Times New Roman" w:cs="Times New Roman"/>
          <w:sz w:val="28"/>
          <w:szCs w:val="28"/>
          <w:rtl w:val="0"/>
        </w:rPr>
        <w:t xml:space="preserve">: </w:t>
      </w:r>
      <w:r w:rsidRPr="00000000">
        <w:rPr>
          <w:rFonts w:ascii="Times New Roman" w:eastAsia="Times New Roman" w:hAnsi="Times New Roman" w:cs="Times New Roman"/>
          <w:i/>
          <w:sz w:val="28"/>
          <w:szCs w:val="28"/>
          <w:rtl w:val="0"/>
        </w:rPr>
        <w:t>A Review of Shattered Hope</w:t>
      </w:r>
    </w:p>
    <w:p w:rsidR="00000000" w:rsidRPr="00000000" w:rsidP="00000000" w14:paraId="00000002">
      <w:pPr>
        <w:spacing w:line="480" w:lineRule="auto"/>
        <w:ind w:firstLine="720"/>
        <w:rPr>
          <w:rFonts w:ascii="Times New Roman" w:eastAsia="Times New Roman" w:hAnsi="Times New Roman" w:cs="Times New Roman"/>
          <w:sz w:val="24"/>
          <w:szCs w:val="24"/>
        </w:rPr>
      </w:pPr>
      <w:r w:rsidRPr="00000000">
        <w:rPr>
          <w:rFonts w:ascii="Times New Roman" w:eastAsia="Times New Roman" w:hAnsi="Times New Roman" w:cs="Times New Roman"/>
          <w:i/>
          <w:sz w:val="24"/>
          <w:szCs w:val="24"/>
          <w:rtl w:val="0"/>
        </w:rPr>
        <w:t>Shattered Hope</w:t>
      </w:r>
      <w:r w:rsidRPr="00000000">
        <w:rPr>
          <w:rFonts w:ascii="Times New Roman" w:eastAsia="Times New Roman" w:hAnsi="Times New Roman" w:cs="Times New Roman"/>
          <w:sz w:val="24"/>
          <w:szCs w:val="24"/>
          <w:rtl w:val="0"/>
        </w:rPr>
        <w:t xml:space="preserve"> by Piero Gleijeses is an interesting take on the Guatemalan Revolution and the meddling of the United States within it. Ultimately Gleijeses seeks to give an alternative explanation as to why the United States decided to overthrown the Árbenz government. Masterfully </w:t>
      </w:r>
      <w:r w:rsidRPr="00000000">
        <w:rPr>
          <w:rFonts w:ascii="Times New Roman" w:eastAsia="Times New Roman" w:hAnsi="Times New Roman" w:cs="Times New Roman"/>
          <w:i/>
          <w:sz w:val="24"/>
          <w:szCs w:val="24"/>
          <w:rtl w:val="0"/>
        </w:rPr>
        <w:t>Shattered Hope</w:t>
      </w:r>
      <w:r w:rsidRPr="00000000">
        <w:rPr>
          <w:rFonts w:ascii="Times New Roman" w:eastAsia="Times New Roman" w:hAnsi="Times New Roman" w:cs="Times New Roman"/>
          <w:sz w:val="24"/>
          <w:szCs w:val="24"/>
          <w:rtl w:val="0"/>
        </w:rPr>
        <w:t xml:space="preserve"> allows for the arguments of economics and communism to run their course all the while presenting an alternative case in that the decision to overthrow the Árbenz government ultimately was the result of the "dangerous" precedent Guatemala presented within the Latin American region. Throughout the book, Gleijeses muddies the waters of investigative reporting and accounts of history to prove his point of the shattered hope of the Guatemalan people. Skillfully done, this interpretation of Guatemalan history during the decade following World War Two, conclusively allows the reader to gain a thorough understanding of what occurred, giving renewed voice to those involved.
</w:t>
      </w:r>
    </w:p>
    <w:p w:rsidR="00000000" w:rsidRPr="00000000" w:rsidP="00000000" w14:paraId="00000003">
      <w:pPr>
        <w:spacing w:line="480" w:lineRule="auto"/>
        <w:ind w:firstLine="72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 Gleijeses begins his book by setting the stage of the end of the Ubico era and the beginning of the revolution with the presidency of Juan Arévalo; before centering on the election and presidency of Jacobo Árbenz. Throughout which Gleijeses threads the ideas of the precedent that Guatemala set, US interference, and fears found on economics and communism. </w:t>
      </w:r>
    </w:p>
    <w:p w:rsidR="00000000" w:rsidRPr="00000000" w:rsidP="00000000" w14:paraId="00000004">
      <w:pPr>
        <w:spacing w:line="480" w:lineRule="auto"/>
        <w:ind w:firstLine="72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In beginning his book with the downfall of Ubico and the presidency of Juan Arévalo, Gleijeses make points on the hopes and the difficulties that are apparent when seizing power brings. He quotes Ubico in warning that now that the Guatemalans "have seized power; now they better muster the ability and nerve to retain it. Beware of zealots and communists!"</w:t>
      </w:r>
      <w:r>
        <w:rPr>
          <w:rFonts w:ascii="Times New Roman" w:eastAsia="Times New Roman" w:hAnsi="Times New Roman" w:cs="Times New Roman"/>
          <w:sz w:val="24"/>
          <w:szCs w:val="24"/>
          <w:vertAlign w:val="superscript"/>
        </w:rPr>
        <w:footnoteReference w:id="0"/>
      </w:r>
      <w:r w:rsidRPr="00000000">
        <w:rPr>
          <w:rFonts w:ascii="Times New Roman" w:eastAsia="Times New Roman" w:hAnsi="Times New Roman" w:cs="Times New Roman"/>
          <w:sz w:val="24"/>
          <w:szCs w:val="24"/>
          <w:rtl w:val="0"/>
        </w:rPr>
        <w:t xml:space="preserve"> This quote effectively sets the stage for the presidency of Arévalo in that as Gleijeses demonstrates that Arévalo could not quite retain his position nor did he acknowledge his enemies enough. 
</w:t>
      </w:r>
    </w:p>
    <w:p w:rsidR="00000000" w:rsidRPr="00000000" w:rsidP="00000000" w14:paraId="00000005">
      <w:pPr>
        <w:spacing w:line="480" w:lineRule="auto"/>
        <w:ind w:firstLine="72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In turning his attention to Juan Arévalo, Gleijeses establishes a president who while a nationalist at his core was unable to bring about real lasting change to the whole of Guatemala. Arévalo sought reforms in Guatemalan society that seemed very radical for a country whose people were used to a very conservative dictator. Examples of the reforms that Gleijeses utilizes include the Labor code of 1947, a fundamental document very helpful to the rights of urban workers and the beginning of the Institute of social security, which helped ensure thousands of municipal workers. Other reforms that Gleijeses notes include the increase in political freedoms such as voting, expression of opinions, and access to books and newspapers. However, Gleijeses also acknowledges that the economic and social reforms that Arévalo championed ultimately did little for the countryside and rural workers.</w:t>
      </w:r>
      <w:r>
        <w:rPr>
          <w:rFonts w:ascii="Times New Roman" w:eastAsia="Times New Roman" w:hAnsi="Times New Roman" w:cs="Times New Roman"/>
          <w:sz w:val="24"/>
          <w:szCs w:val="24"/>
          <w:vertAlign w:val="superscript"/>
        </w:rPr>
        <w:footnoteReference w:id="1"/>
      </w:r>
      <w:r w:rsidRPr="00000000">
        <w:rPr>
          <w:rFonts w:ascii="Times New Roman" w:eastAsia="Times New Roman" w:hAnsi="Times New Roman" w:cs="Times New Roman"/>
          <w:sz w:val="24"/>
          <w:szCs w:val="24"/>
          <w:rtl w:val="0"/>
        </w:rPr>
        <w:t xml:space="preserve"> Nonetheless, it is crucial that Gleijeses mentions the rule of Arévalo as without him the Árbenz government could have never made the steps it did nor become the perceived threat that required its overthrow in the eyes of the United States Government. In essence, Gleijeses depicts that Arévalo begins the precedent of a perceived dangerous Guatemala. 
</w:t>
      </w:r>
    </w:p>
    <w:p w:rsidR="00000000" w:rsidRPr="00000000" w:rsidP="00000000" w14:paraId="00000006">
      <w:pPr>
        <w:spacing w:line="480" w:lineRule="auto"/>
        <w:ind w:firstLine="72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This perceived threat starts with the enemies Arévalo makes, the Guatemalan latifundistas (large landowners within the upper class), the Church, and American Companies, all who sought to attack. Gleijeses claims that these figures within Guatemalan society combined with the journalistic accounts offered the United States government an incentive to keep an eye on but not interfere with the Arévalo regime. For instance, with the 1947 Labor Code, United Fruit Company (UFCO) appealed to the United States government to help pressure the Guatemalan government to change its mind. The Guatemalan government refused to back down.</w:t>
      </w:r>
      <w:r>
        <w:rPr>
          <w:rFonts w:ascii="Times New Roman" w:eastAsia="Times New Roman" w:hAnsi="Times New Roman" w:cs="Times New Roman"/>
          <w:sz w:val="24"/>
          <w:szCs w:val="24"/>
          <w:vertAlign w:val="superscript"/>
        </w:rPr>
        <w:footnoteReference w:id="2"/>
      </w:r>
      <w:r w:rsidRPr="00000000">
        <w:rPr>
          <w:rFonts w:ascii="Times New Roman" w:eastAsia="Times New Roman" w:hAnsi="Times New Roman" w:cs="Times New Roman"/>
          <w:sz w:val="24"/>
          <w:szCs w:val="24"/>
          <w:rtl w:val="0"/>
        </w:rPr>
        <w:t xml:space="preserve"> It is during this section on UFCO and other American companies that Gleijeses spends some time on the economics of the situation conclusively demonstrating that in the eyes of the United States, Guatemala had victimized the American companies but that economics was not the leading cause of later United States meddling; in this Gleijeses turns to communism.</w:t>
      </w:r>
      <w:r>
        <w:rPr>
          <w:rFonts w:ascii="Times New Roman" w:eastAsia="Times New Roman" w:hAnsi="Times New Roman" w:cs="Times New Roman"/>
          <w:sz w:val="24"/>
          <w:szCs w:val="24"/>
          <w:vertAlign w:val="superscript"/>
        </w:rPr>
        <w:footnoteReference w:id="3"/>
      </w:r>
      <w:r w:rsidRPr="00000000">
        <w:rPr>
          <w:rFonts w:ascii="Times New Roman" w:eastAsia="Times New Roman" w:hAnsi="Times New Roman" w:cs="Times New Roman"/>
          <w:sz w:val="24"/>
          <w:szCs w:val="24"/>
          <w:rtl w:val="0"/>
        </w:rPr>
        <w:t xml:space="preserve"> </w:t>
      </w:r>
    </w:p>
    <w:p w:rsidR="00000000" w:rsidRPr="00000000" w:rsidP="00000000" w14:paraId="00000007">
      <w:pPr>
        <w:spacing w:line="480" w:lineRule="auto"/>
        <w:ind w:firstLine="72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During his assessment on Communism Gleijeses speaks on who gave the US embassy information noting that, “Not surprisingly, these worthies were found among Arévalo’s enemies and particularly among the genteel upper class. These were the men who were eager to convince the Americans of the burgeoning communist threat.”</w:t>
      </w:r>
      <w:r>
        <w:rPr>
          <w:rFonts w:ascii="Times New Roman" w:eastAsia="Times New Roman" w:hAnsi="Times New Roman" w:cs="Times New Roman"/>
          <w:sz w:val="24"/>
          <w:szCs w:val="24"/>
          <w:vertAlign w:val="superscript"/>
        </w:rPr>
        <w:footnoteReference w:id="4"/>
      </w:r>
      <w:r w:rsidRPr="00000000">
        <w:rPr>
          <w:rFonts w:ascii="Times New Roman" w:eastAsia="Times New Roman" w:hAnsi="Times New Roman" w:cs="Times New Roman"/>
          <w:sz w:val="24"/>
          <w:szCs w:val="24"/>
          <w:rtl w:val="0"/>
        </w:rPr>
        <w:t xml:space="preserve"> Not that there was one according to Gleijeses, Arévalo believed in capitalism and sharply condemned communism.</w:t>
      </w:r>
      <w:r>
        <w:rPr>
          <w:rFonts w:ascii="Times New Roman" w:eastAsia="Times New Roman" w:hAnsi="Times New Roman" w:cs="Times New Roman"/>
          <w:sz w:val="24"/>
          <w:szCs w:val="24"/>
          <w:vertAlign w:val="superscript"/>
        </w:rPr>
        <w:footnoteReference w:id="5"/>
      </w:r>
      <w:r w:rsidRPr="00000000">
        <w:rPr>
          <w:rFonts w:ascii="Times New Roman" w:eastAsia="Times New Roman" w:hAnsi="Times New Roman" w:cs="Times New Roman"/>
          <w:sz w:val="24"/>
          <w:szCs w:val="24"/>
          <w:rtl w:val="0"/>
        </w:rPr>
        <w:t xml:space="preserve"> The US government had a hard time proving that communism had taken hold of any part of the government. Gleijeses emphasizes that the United States had come the to assessment that "The military, Guatemala's most powerful institution, was still health - that is, anti-communist."</w:t>
      </w:r>
      <w:r>
        <w:rPr>
          <w:rFonts w:ascii="Times New Roman" w:eastAsia="Times New Roman" w:hAnsi="Times New Roman" w:cs="Times New Roman"/>
          <w:sz w:val="24"/>
          <w:szCs w:val="24"/>
          <w:vertAlign w:val="superscript"/>
        </w:rPr>
        <w:footnoteReference w:id="6"/>
      </w:r>
      <w:r w:rsidRPr="00000000">
        <w:rPr>
          <w:rFonts w:ascii="Times New Roman" w:eastAsia="Times New Roman" w:hAnsi="Times New Roman" w:cs="Times New Roman"/>
          <w:sz w:val="24"/>
          <w:szCs w:val="24"/>
          <w:rtl w:val="0"/>
        </w:rPr>
        <w:t xml:space="preserve"> Which is what paved the way for military officer Jacobo Árbenz to become president and why the United States decided they understood him. Though, as Gleijeses demonstrates, this understanding could not be further off.
</w:t>
      </w:r>
    </w:p>
    <w:p w:rsidR="00000000" w:rsidRPr="00000000" w:rsidP="00000000" w14:paraId="00000008">
      <w:pPr>
        <w:spacing w:line="480" w:lineRule="auto"/>
        <w:ind w:firstLine="72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In beginning his assessment of Árbenz, Gleijeses states, "Instead he [Árbenz] advanced along an unprecedented and increasingly dangerous road. His presidency  marked by three departures: agrarian reform, close ties with the Communist party, and stubborn defines of the United States."</w:t>
      </w:r>
      <w:r>
        <w:rPr>
          <w:rFonts w:ascii="Times New Roman" w:eastAsia="Times New Roman" w:hAnsi="Times New Roman" w:cs="Times New Roman"/>
          <w:sz w:val="24"/>
          <w:szCs w:val="24"/>
          <w:vertAlign w:val="superscript"/>
        </w:rPr>
        <w:footnoteReference w:id="7"/>
      </w:r>
      <w:r w:rsidRPr="00000000">
        <w:rPr>
          <w:rFonts w:ascii="Times New Roman" w:eastAsia="Times New Roman" w:hAnsi="Times New Roman" w:cs="Times New Roman"/>
          <w:sz w:val="24"/>
          <w:szCs w:val="24"/>
          <w:rtl w:val="0"/>
        </w:rPr>
        <w:t xml:space="preserve"> These ideas were strong departures from Arévalo, Arévalo had improved the country for the urban classes but had largely ignored the countryside. Arévalo despised communism while Árbenz was a communist and associated with the PGT, the communist party of Guatemala. The consistent defense of the United States by Árbenz only worsened tensions. 
</w:t>
      </w:r>
    </w:p>
    <w:p w:rsidR="00000000" w:rsidRPr="00000000" w:rsidP="00000000" w14:paraId="00000009">
      <w:pPr>
        <w:spacing w:line="480" w:lineRule="auto"/>
        <w:ind w:firstLine="72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The agrarian reform, also known as Decree 900, was a powerful shift in Guatemala's policy. As Gleijeses explains, the decree took uncultivated land on private estates of more than 672 acres. It would bring about a land structure and a system of land, tenure mainly centering around the needs and aspirations of the individual peasant families. Árbenz was trying to establish a Yeoman Farmer. What is more, Gleijeses claims that the United States h</w:t>
      </w:r>
      <w:r w:rsidRPr="00000000">
        <w:rPr>
          <w:rFonts w:ascii="Times New Roman" w:eastAsia="Times New Roman" w:hAnsi="Times New Roman" w:cs="Times New Roman"/>
          <w:sz w:val="24"/>
          <w:szCs w:val="24"/>
          <w:rtl w:val="0"/>
        </w:rPr>
        <w:t>ad little criticism of the technical aspects of Decree 900.</w:t>
      </w:r>
      <w:r>
        <w:rPr>
          <w:rFonts w:ascii="Times New Roman" w:eastAsia="Times New Roman" w:hAnsi="Times New Roman" w:cs="Times New Roman"/>
          <w:sz w:val="24"/>
          <w:szCs w:val="24"/>
          <w:vertAlign w:val="superscript"/>
        </w:rPr>
        <w:footnoteReference w:id="8"/>
      </w:r>
      <w:r w:rsidRPr="00000000">
        <w:rPr>
          <w:rFonts w:ascii="Times New Roman" w:eastAsia="Times New Roman" w:hAnsi="Times New Roman" w:cs="Times New Roman"/>
          <w:sz w:val="24"/>
          <w:szCs w:val="24"/>
          <w:rtl w:val="0"/>
        </w:rPr>
        <w:t xml:space="preserve"> In fact, to Gleijeses it was apparent that the reform was following an American example from Formosa and Japan. Decree 900, therefore, was setting a precedent of following the American example. However, that worried the United States government as the US was the biggest regional power, what happened if one of the small Latin American countries suddenly had that power? Moreover, the US fear the successful implementation of the Decree due to its ability to strengthen the government's influence in the Countryside.</w:t>
      </w:r>
      <w:r>
        <w:rPr>
          <w:rFonts w:ascii="Times New Roman" w:eastAsia="Times New Roman" w:hAnsi="Times New Roman" w:cs="Times New Roman"/>
          <w:sz w:val="24"/>
          <w:szCs w:val="24"/>
          <w:vertAlign w:val="superscript"/>
        </w:rPr>
        <w:footnoteReference w:id="9"/>
      </w:r>
      <w:r w:rsidRPr="00000000">
        <w:rPr>
          <w:rFonts w:ascii="Times New Roman" w:eastAsia="Times New Roman" w:hAnsi="Times New Roman" w:cs="Times New Roman"/>
          <w:sz w:val="24"/>
          <w:szCs w:val="24"/>
          <w:rtl w:val="0"/>
        </w:rPr>
        <w:t xml:space="preserve"> </w:t>
      </w:r>
    </w:p>
    <w:p w:rsidR="00000000" w:rsidRPr="00000000" w:rsidP="00000000" w14:paraId="0000000A">
      <w:pPr>
        <w:spacing w:line="480" w:lineRule="auto"/>
        <w:ind w:firstLine="72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The Government, after all, had close ties with the Communist party. Árbenz, as Gleijeses presents, was a communist and staunch support of the PGT, Guatemala's communist party. What is more, through an interview with Bill Krieg, the embassy deputy chief during the Árbenz years, Gleijeses highlights what made the PGT different, they acted in the benefit of the people where the other parties, who could have provided an alternative, were "lazy, ambitious, they wanted money, they were palace hangers-on. . . . This was the tragedy: the only people who were committed to hard were those who were, by definition, our worst enemies."</w:t>
      </w:r>
      <w:r>
        <w:rPr>
          <w:rFonts w:ascii="Times New Roman" w:eastAsia="Times New Roman" w:hAnsi="Times New Roman" w:cs="Times New Roman"/>
          <w:sz w:val="24"/>
          <w:szCs w:val="24"/>
          <w:vertAlign w:val="superscript"/>
        </w:rPr>
        <w:footnoteReference w:id="10"/>
      </w:r>
      <w:r w:rsidRPr="00000000">
        <w:rPr>
          <w:rFonts w:ascii="Times New Roman" w:eastAsia="Times New Roman" w:hAnsi="Times New Roman" w:cs="Times New Roman"/>
          <w:sz w:val="24"/>
          <w:szCs w:val="24"/>
          <w:rtl w:val="0"/>
        </w:rPr>
        <w:t xml:space="preserve"> Thus, Gleijeses is exposing the fears of the United States; the government was more worried about communists running a country well than the improvement of the lives of the people. Moreover, with this quote Gleijeses demonstrates that the United States made no distinction between a communist and a supporter of the Soviet Union, to the US they were the same. Gleijeses makes that a communist and a supporter of the soviet union were very different in showing that plain Moscow, according to him, knew nothing of what it was like for Guatemala and did not aid them.</w:t>
      </w:r>
      <w:r>
        <w:rPr>
          <w:rFonts w:ascii="Times New Roman" w:eastAsia="Times New Roman" w:hAnsi="Times New Roman" w:cs="Times New Roman"/>
          <w:sz w:val="24"/>
          <w:szCs w:val="24"/>
          <w:vertAlign w:val="superscript"/>
        </w:rPr>
        <w:footnoteReference w:id="11"/>
      </w:r>
      <w:r w:rsidRPr="00000000">
        <w:rPr>
          <w:rFonts w:ascii="Times New Roman" w:eastAsia="Times New Roman" w:hAnsi="Times New Roman" w:cs="Times New Roman"/>
          <w:sz w:val="24"/>
          <w:szCs w:val="24"/>
          <w:rtl w:val="0"/>
        </w:rPr>
        <w:t xml:space="preserve"> Nonetheless, the acceptance of the PGT as a well-organized, powerful communist party within Guatemala set a precedent that the United States could not accept; their enemies were in America’s backyard and doing well. </w:t>
      </w:r>
    </w:p>
    <w:p w:rsidR="00000000" w:rsidRPr="00000000" w:rsidP="00000000" w14:paraId="0000000B">
      <w:pPr>
        <w:spacing w:line="480" w:lineRule="auto"/>
        <w:ind w:left="0" w:firstLine="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 Could this have been forgiven? Gleijeses determines that no, not when coupled with the other actions of Guatemala, notably at the Caracas conference and later when buying weapons from Czechoslovakia. </w:t>
      </w:r>
      <w:r w:rsidRPr="00000000">
        <w:rPr>
          <w:rFonts w:ascii="Times New Roman" w:eastAsia="Times New Roman" w:hAnsi="Times New Roman" w:cs="Times New Roman"/>
          <w:sz w:val="24"/>
          <w:szCs w:val="24"/>
          <w:rtl w:val="0"/>
        </w:rPr>
        <w:t xml:space="preserve">At the </w:t>
      </w:r>
      <w:r w:rsidRPr="00000000">
        <w:rPr>
          <w:rFonts w:ascii="Times New Roman" w:eastAsia="Times New Roman" w:hAnsi="Times New Roman" w:cs="Times New Roman"/>
          <w:sz w:val="24"/>
          <w:szCs w:val="24"/>
          <w:rtl w:val="0"/>
        </w:rPr>
        <w:t>Caracas conference, Gleijeses explains that t</w:t>
      </w:r>
      <w:r w:rsidRPr="00000000">
        <w:rPr>
          <w:rFonts w:ascii="Times New Roman" w:eastAsia="Times New Roman" w:hAnsi="Times New Roman" w:cs="Times New Roman"/>
          <w:sz w:val="24"/>
          <w:szCs w:val="24"/>
          <w:rtl w:val="0"/>
        </w:rPr>
        <w:t>he Latin American governments, "sought US aid in the form of development loans, higher prices for their raw materials, and easier access to the US market." The United States also had an agenda, the passing of an anti-communist amendment.</w:t>
      </w:r>
      <w:r>
        <w:rPr>
          <w:rFonts w:ascii="Times New Roman" w:eastAsia="Times New Roman" w:hAnsi="Times New Roman" w:cs="Times New Roman"/>
          <w:sz w:val="24"/>
          <w:szCs w:val="24"/>
          <w:vertAlign w:val="superscript"/>
        </w:rPr>
        <w:footnoteReference w:id="12"/>
      </w:r>
      <w:r w:rsidRPr="00000000">
        <w:rPr>
          <w:rFonts w:ascii="Times New Roman" w:eastAsia="Times New Roman" w:hAnsi="Times New Roman" w:cs="Times New Roman"/>
          <w:sz w:val="24"/>
          <w:szCs w:val="24"/>
          <w:rtl w:val="0"/>
        </w:rPr>
        <w:t xml:space="preserve"> Guatemala said no. Instead, in a passionate speech Guatemalan foreign minister Toriello, “spoke of the menace of the United States.”</w:t>
      </w:r>
      <w:r>
        <w:rPr>
          <w:rFonts w:ascii="Times New Roman" w:eastAsia="Times New Roman" w:hAnsi="Times New Roman" w:cs="Times New Roman"/>
          <w:sz w:val="24"/>
          <w:szCs w:val="24"/>
          <w:vertAlign w:val="superscript"/>
        </w:rPr>
        <w:footnoteReference w:id="13"/>
      </w:r>
      <w:r w:rsidRPr="00000000">
        <w:rPr>
          <w:rFonts w:ascii="Times New Roman" w:eastAsia="Times New Roman" w:hAnsi="Times New Roman" w:cs="Times New Roman"/>
          <w:sz w:val="24"/>
          <w:szCs w:val="24"/>
          <w:rtl w:val="0"/>
        </w:rPr>
        <w:t xml:space="preserve"> Though Gliejese notes that the speech almost did not happen, he goes on to speak of the repercussions of it, coining it as a moral victory singed with a psychological defeat. In addition, Gleijeses alludes to the idea that the conference set its dangerous precedent, that the United States could have their way, that the other republics of Latin America would not act in anyone's defense. That Guatemala in going against the United States was clearly saying that they would not back down.
</w:t>
      </w:r>
    </w:p>
    <w:p w:rsidR="00000000" w:rsidRPr="00000000" w:rsidP="00000000" w14:paraId="0000000C">
      <w:pPr>
        <w:spacing w:line="480" w:lineRule="auto"/>
        <w:ind w:left="0" w:firstLine="0"/>
        <w:rPr>
          <w:rFonts w:ascii="Times New Roman" w:eastAsia="Times New Roman" w:hAnsi="Times New Roman" w:cs="Times New Roman"/>
          <w:sz w:val="24"/>
          <w:szCs w:val="24"/>
        </w:rPr>
      </w:pPr>
      <w:r w:rsidRPr="00000000">
        <w:rPr>
          <w:rFonts w:ascii="Times New Roman" w:eastAsia="Times New Roman" w:hAnsi="Times New Roman" w:cs="Times New Roman"/>
          <w:sz w:val="24"/>
          <w:szCs w:val="24"/>
          <w:rtl w:val="0"/>
        </w:rPr>
        <w:t xml:space="preserve"> Finally, Gleijeses utilizes two critical pieces of evidence, the plot of the United States government to overthrow Arbenz and the buying of arms from Czechoslovakia. The plot to overthrow Árbenz had been the background for weeks waiting for the opportune moment to strike. It came when Gleijeses claims Árbenz was trying to prepare for the threat that the United States posed by arming workers' militias and giving new weapons for the army.</w:t>
      </w:r>
      <w:r>
        <w:rPr>
          <w:rFonts w:ascii="Times New Roman" w:eastAsia="Times New Roman" w:hAnsi="Times New Roman" w:cs="Times New Roman"/>
          <w:sz w:val="24"/>
          <w:szCs w:val="24"/>
          <w:vertAlign w:val="superscript"/>
        </w:rPr>
        <w:footnoteReference w:id="14"/>
      </w:r>
      <w:r w:rsidRPr="00000000">
        <w:rPr>
          <w:rFonts w:ascii="Times New Roman" w:eastAsia="Times New Roman" w:hAnsi="Times New Roman" w:cs="Times New Roman"/>
          <w:sz w:val="24"/>
          <w:szCs w:val="24"/>
          <w:rtl w:val="0"/>
        </w:rPr>
        <w:t xml:space="preserve"> Unfortunately for Guatemala, having been frozen out from the capitalist system in terms of arms dealings, Guatemala had no choice but to broker a deal with communist Czechoslovakia. Gleijeses sums up the dangerous precedent set by Guatemala nicely with, "For too long, his [Árbenz] government had posted a disquieting paradox for the Americans: riddled with communists, it had nevertheless upheld democracy and civil liberties to the degree that was highly unusual in Latin America."</w:t>
      </w:r>
      <w:r>
        <w:rPr>
          <w:rFonts w:ascii="Times New Roman" w:eastAsia="Times New Roman" w:hAnsi="Times New Roman" w:cs="Times New Roman"/>
          <w:sz w:val="24"/>
          <w:szCs w:val="24"/>
          <w:vertAlign w:val="superscript"/>
        </w:rPr>
        <w:footnoteReference w:id="15"/>
      </w:r>
      <w:r w:rsidRPr="00000000">
        <w:rPr>
          <w:rFonts w:ascii="Times New Roman" w:eastAsia="Times New Roman" w:hAnsi="Times New Roman" w:cs="Times New Roman"/>
          <w:sz w:val="24"/>
          <w:szCs w:val="24"/>
          <w:rtl w:val="0"/>
        </w:rPr>
        <w:t xml:space="preserve"> Eventually, a military force led by Castillo Armas invaded, Árbenz stepped down, and Guatemala fell into decades of civil war surrounded by a culture of fear.</w:t>
      </w:r>
      <w:r>
        <w:rPr>
          <w:rFonts w:ascii="Times New Roman" w:eastAsia="Times New Roman" w:hAnsi="Times New Roman" w:cs="Times New Roman"/>
          <w:sz w:val="24"/>
          <w:szCs w:val="24"/>
          <w:vertAlign w:val="superscript"/>
        </w:rPr>
        <w:footnoteReference w:id="16"/>
      </w:r>
    </w:p>
    <w:p w:rsidR="00000000" w:rsidRPr="00000000" w:rsidP="00000000" w14:paraId="0000000D">
      <w:pPr>
        <w:spacing w:line="480" w:lineRule="auto"/>
        <w:ind w:left="0" w:firstLine="0"/>
        <w:rPr>
          <w:rFonts w:ascii="Times New Roman" w:eastAsia="Times New Roman" w:hAnsi="Times New Roman" w:cs="Times New Roman"/>
          <w:color w:val="3C4043"/>
          <w:sz w:val="24"/>
          <w:szCs w:val="24"/>
          <w:highlight w:val="white"/>
        </w:rPr>
      </w:pPr>
      <w:r w:rsidRPr="00000000">
        <w:rPr>
          <w:rFonts w:ascii="Times New Roman" w:eastAsia="Times New Roman" w:hAnsi="Times New Roman" w:cs="Times New Roman"/>
          <w:sz w:val="24"/>
          <w:szCs w:val="24"/>
          <w:rtl w:val="0"/>
        </w:rPr>
        <w:tab/>
        <w:t xml:space="preserve">Ultimately, </w:t>
      </w:r>
      <w:r w:rsidRPr="00000000">
        <w:rPr>
          <w:rFonts w:ascii="Times New Roman" w:eastAsia="Times New Roman" w:hAnsi="Times New Roman" w:cs="Times New Roman"/>
          <w:i/>
          <w:sz w:val="24"/>
          <w:szCs w:val="24"/>
          <w:rtl w:val="0"/>
        </w:rPr>
        <w:t>Shattered Hope</w:t>
      </w:r>
      <w:r w:rsidRPr="00000000">
        <w:rPr>
          <w:rFonts w:ascii="Times New Roman" w:eastAsia="Times New Roman" w:hAnsi="Times New Roman" w:cs="Times New Roman"/>
          <w:sz w:val="24"/>
          <w:szCs w:val="24"/>
          <w:rtl w:val="0"/>
        </w:rPr>
        <w:t xml:space="preserve"> demonstrates that while economics or communism had their roles to play in the United States meddling within the Guatemalan revolution, it was decisively the success of Guatemala and the country's defiance within the region that caused the United States to act. Worried about the future that Árbenz's Guatemala would bring, the need to negate that future and show other countries in the region what would happen was stronger than the needs of a people. 
</w:t>
      </w:r>
    </w:p>
    <w:sectPr>
      <w:headerReference w:type="default" r:id="rId5"/>
      <w:pgSz w:w="12240" w:h="15840"/>
      <w:pgMar w:top="1440" w:right="1440" w:bottom="1440" w:left="1440" w:header="720" w:footer="72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rsidR="00000000" w:rsidRPr="00000000" w:rsidP="00000000" w14:paraId="0000000E">
      <w:pPr>
        <w:spacing w:line="240" w:lineRule="auto"/>
        <w:rPr>
          <w:rFonts w:ascii="Times New Roman" w:eastAsia="Times New Roman" w:hAnsi="Times New Roman" w:cs="Times New Roman"/>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29</w:t>
      </w:r>
    </w:p>
  </w:footnote>
  <w:footnote w:id="1">
    <w:p w:rsidR="00000000" w:rsidRPr="00000000" w:rsidP="00000000" w14:paraId="00000010">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47</w:t>
      </w:r>
    </w:p>
  </w:footnote>
  <w:footnote w:id="2">
    <w:p w:rsidR="00000000" w:rsidRPr="00000000" w:rsidP="00000000" w14:paraId="00000011">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95-96</w:t>
      </w:r>
    </w:p>
  </w:footnote>
  <w:footnote w:id="3">
    <w:p w:rsidR="00000000" w:rsidRPr="00000000" w:rsidP="00000000" w14:paraId="00000013">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105-106</w:t>
      </w:r>
    </w:p>
  </w:footnote>
  <w:footnote w:id="4">
    <w:p w:rsidR="00000000" w:rsidRPr="00000000" w:rsidP="00000000" w14:paraId="00000012">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100</w:t>
      </w:r>
    </w:p>
  </w:footnote>
  <w:footnote w:id="5">
    <w:p w:rsidR="00000000" w:rsidRPr="00000000" w:rsidP="00000000" w14:paraId="00000014">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117</w:t>
      </w:r>
    </w:p>
  </w:footnote>
  <w:footnote w:id="6">
    <w:p w:rsidR="00000000" w:rsidRPr="00000000" w:rsidP="00000000" w14:paraId="00000015">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127</w:t>
      </w:r>
    </w:p>
  </w:footnote>
  <w:footnote w:id="7">
    <w:p w:rsidR="00000000" w:rsidRPr="00000000" w:rsidP="00000000" w14:paraId="00000016">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135</w:t>
      </w:r>
    </w:p>
  </w:footnote>
  <w:footnote w:id="8">
    <w:p w:rsidR="00000000" w:rsidRPr="00000000" w:rsidP="00000000" w14:paraId="00000017">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152</w:t>
      </w:r>
    </w:p>
  </w:footnote>
  <w:footnote w:id="9">
    <w:p w:rsidR="00000000" w:rsidRPr="00000000" w:rsidP="00000000" w14:paraId="00000018">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152</w:t>
      </w:r>
    </w:p>
  </w:footnote>
  <w:footnote w:id="10">
    <w:p w:rsidR="00000000" w:rsidRPr="00000000" w:rsidP="00000000" w14:paraId="00000019">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193</w:t>
      </w:r>
    </w:p>
  </w:footnote>
  <w:footnote w:id="11">
    <w:p w:rsidR="00000000" w:rsidRPr="00000000" w:rsidP="00000000" w14:paraId="0000001A">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188</w:t>
      </w:r>
    </w:p>
  </w:footnote>
  <w:footnote w:id="12">
    <w:p w:rsidR="00000000" w:rsidRPr="00000000" w:rsidP="00000000" w14:paraId="0000001B">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270</w:t>
      </w:r>
    </w:p>
  </w:footnote>
  <w:footnote w:id="13">
    <w:p w:rsidR="00000000" w:rsidRPr="00000000" w:rsidP="00000000" w14:paraId="0000001C">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273</w:t>
      </w:r>
    </w:p>
  </w:footnote>
  <w:footnote w:id="14">
    <w:p w:rsidR="00000000" w:rsidRPr="00000000" w:rsidP="00000000" w14:paraId="0000001E">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3279, see footnote 2</w:t>
      </w:r>
    </w:p>
  </w:footnote>
  <w:footnote w:id="15">
    <w:p w:rsidR="00000000" w:rsidRPr="00000000" w:rsidP="00000000" w14:paraId="0000001D">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318</w:t>
      </w:r>
    </w:p>
  </w:footnote>
  <w:footnote w:id="16">
    <w:p w:rsidR="00000000" w:rsidRPr="00000000" w:rsidP="00000000" w14:paraId="0000001F">
      <w:pPr>
        <w:spacing w:line="240" w:lineRule="auto"/>
        <w:rPr>
          <w:sz w:val="20"/>
          <w:szCs w:val="20"/>
        </w:rPr>
      </w:pPr>
      <w:r w:rsidRPr="00000000">
        <w:rPr>
          <w:rStyle w:val="DefaultParagraphFont"/>
          <w:vertAlign w:val="superscript"/>
        </w:rPr>
        <w:footnoteRef/>
      </w:r>
      <w:r w:rsidRPr="00000000">
        <w:rPr>
          <w:sz w:val="20"/>
          <w:szCs w:val="20"/>
          <w:rtl w:val="0"/>
        </w:rPr>
        <w:t xml:space="preserve"> </w:t>
      </w:r>
      <w:r w:rsidRPr="00000000">
        <w:rPr>
          <w:rFonts w:ascii="Times New Roman" w:eastAsia="Times New Roman" w:hAnsi="Times New Roman" w:cs="Times New Roman"/>
          <w:sz w:val="20"/>
          <w:szCs w:val="20"/>
          <w:rtl w:val="0"/>
        </w:rPr>
        <w:t>Gleijeses 394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0F">
    <w:r w:rsidRPr="00000000">
      <w:rPr>
        <w:rtl w:val="0"/>
      </w:rPr>
      <w:t>100199437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b w:val="0"/>
      <w:sz w:val="32"/>
      <w:szCs w:val="32"/>
    </w:rPr>
  </w:style>
  <w:style w:type="paragraph" w:styleId="Heading3">
    <w:name w:val="heading 3"/>
    <w:basedOn w:val="Normal"/>
    <w:next w:val="Normal"/>
    <w:pPr>
      <w:keepNext/>
      <w:keepLines/>
      <w:spacing w:before="320" w:after="80"/>
      <w:outlineLvl w:val="2"/>
    </w:pPr>
    <w:rPr>
      <w:b w:val="0"/>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style>
  <w:style w:type="paragraph" w:styleId="Title">
    <w:name w:val="Title"/>
    <w:basedOn w:val="Normal"/>
    <w:next w:val="Normal"/>
    <w:pPr>
      <w:keepNext/>
      <w:keepLines/>
      <w:spacing w:before="0" w:after="60"/>
    </w:pPr>
    <w:rPr>
      <w:sz w:val="52"/>
      <w:szCs w:val="52"/>
    </w:rPr>
  </w:style>
  <w:style w:type="paragraph" w:styleId="Subtitle">
    <w:name w:val="Subtitle"/>
    <w:basedOn w:val="Normal"/>
    <w:next w:val="Normal"/>
    <w:pPr>
      <w:keepNext/>
      <w:keepLines/>
      <w:spacing w:before="0" w:after="320"/>
    </w:pPr>
    <w:rPr>
      <w:rFonts w:ascii="Arial" w:eastAsia="Arial" w:hAnsi="Arial" w:cs="Arial"/>
      <w:i w:val="0"/>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